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00A643"/>
          <w:sz w:val="19"/>
          <w:szCs w:val="19"/>
        </w:rPr>
        <w:t xml:space="preserve">Table: Generic checklist template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266"/>
        <w:gridCol w:w="1100"/>
      </w:tblGrid>
      <w:tr>
        <w:trPr>
          <w:tblHeader/>
        </w:trPr>
        <w:tc>
          <w:tcPr>
            <w:tcW w:type="dxa" w:w="25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202A4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202A4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202A4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c>
          <w:tcPr>
            <w:tcW w:type="dxa" w:w="9866"/>
            <w:gridSpan w:val="3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00A64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Phase 1: Qualification mapping and preparation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Review source materials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Make sure the relevant staff have reviewed and understand the relevant ACQF QCP documents: the African Learning Model, the Data Collection Template and the Architecture Report, as well as the training materials prepared for QCP contact persons.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Verify alignment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Check how the national qualification structure aligns with the African Learning Model.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Document deviations or issues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Record and explain any areas where alignment with the model is ambiguous. You can also share this documentation with the QCP project team.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Decide on common practices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Where fields are ambiguous or issues come up, prepare a national mapping guide with clear transformation rules and circulate it among the staff entering data, to ensure consistency.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Assess data readiness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Confirm that the source data is fit for mapping by checking for: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Completeness: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all mandatory fields (e.g. qualification title, NQF level, awarding body) are present in the source document.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Validity: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data formats in the source are predictable (e.g. consistent date formats).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Uniqueness: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the qualification (identified by its national ID) has not already been entered into the QCP, to avoid duplicates.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9866"/>
            <w:gridSpan w:val="3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00A64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Phase 2: Data entry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Apply consistent formatting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Verify that all entries follow the platform's format requirements (see the Data Collection Template for details):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Cardinality of fields (number of accepted values)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Date fields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Numerical values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Proper capitalisation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Maximum character limits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Verify accuracy against source data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Validate critical information and other qualification details by cross-referencing source documents or official databases. Fields to check: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Qualification title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Learning outcome title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Accreditation title (if accreditation information is added)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Accreditation type (if accreditation information is added)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Credit points (if credit information is added)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Credit framework (if credit information is added)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Learning opportunity title (if learning opportunity information is added)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Learning opportunity provider (if learning opportunity information is added)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Language of instruction (if learning opportunity information is added)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ind w:left="200"/>
            </w:pPr>
            <w:r>
              <w:rPr>
                <w:rFonts w:ascii="Arial" w:cs="Arial" w:eastAsia="Arial" w:hAnsi="Arial"/>
                <w:b/>
                <w:bCs/>
                <w:color w:val="00A643"/>
                <w:sz w:val="17"/>
                <w:szCs w:val="17"/>
              </w:rPr>
              <w:t xml:space="preserve">–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Any other fields completed (e.g. unique identifiers, NQF level)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Ensure semantic and relational integrity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Confirm that all relationships and classifications are correct: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Controlled vocabularies: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the correct ISCED-F code for "Thematic area" and the correct ESCO terms for "Related skills" and "Related occupation" have been selected.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Linked organisations: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the "Awarding body" and "Accrediting organisation" selected are the correct, existing entities in the QCP.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Check links and references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Confirm that all attached references, URLs and linked documents work and are relevant.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Log challenges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Document any issues you encounter during the process and share them with your team.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9866"/>
            <w:gridSpan w:val="3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00A64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Phase 3: Quality assurance and publication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Conduct cross-field consistency checks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Check that related fields (e.g. learning outcomes and the associated qualification level) are logically consistent and accurate.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System validation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Use the QCP's automated validation checks to identify errors or missing fields before submission.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Peer review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Ask another administrator or curator for a second review to catch any overlooked errors or inconsistencies.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Final review before publication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Once the qualification has been peer-reviewed and corrected, change its editorial status to "Under review for release". Confirm that it appears correctly in the staging/review environment of your Virtual Space.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6F7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CE2EF" w:sz="4"/>
              <w:left w:val="single" w:color="00A643" w:sz="2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02A44"/>
                <w:sz w:val="18"/>
                <w:szCs w:val="18"/>
              </w:rPr>
              <w:t xml:space="preserve">Monitor and address feedback</w:t>
            </w:r>
          </w:p>
        </w:tc>
        <w:tc>
          <w:tcPr>
            <w:tcW w:type="dxa" w:w="6266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Review and respond to comments or corrections from the peer review, QCP users and the project team.</w:t>
            </w:r>
          </w:p>
        </w:tc>
        <w:tc>
          <w:tcPr>
            <w:tcW w:type="dxa" w:w="1100"/>
            <w:tcBorders>
              <w:top w:val="single" w:color="DCE2EF" w:sz="4"/>
              <w:left w:val="single" w:color="DCE2EF" w:sz="4"/>
              <w:bottom w:val="single" w:color="DCE2EF" w:sz="4"/>
              <w:right w:val="single" w:color="DCE2EF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color w:val="202A44"/>
                <w:sz w:val="24"/>
                <w:szCs w:val="24"/>
              </w:rPr>
              <w:t xml:space="preserve">☐</w:t>
            </w:r>
          </w:p>
        </w:tc>
      </w:tr>
    </w:tbl>
    <w:sectPr>
      <w:pgSz w:w="11906" w:h="16838" w:orient="portrait"/>
      <w:pgMar w:top="1080" w:right="1020" w:bottom="108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A4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2026-10-09T14:47:22.706Z</dcterms:created>
  <dcterms:modified xsi:type="dcterms:W3CDTF">2026-10-09T14:47:22.716Z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