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color w:val="202A44"/>
          <w:sz w:val="36"/>
          <w:szCs w:val="36"/>
        </w:rPr>
        <w:t xml:space="preserve">Stakeholder mapping template</w:t>
      </w:r>
    </w:p>
    <w:p>
      <w:pPr>
        <w:spacing w:after="60"/>
      </w:pPr>
      <w:r>
        <w:rPr>
          <w:rFonts w:ascii="Arial" w:cs="Arial" w:eastAsia="Arial" w:hAnsi="Arial"/>
          <w:color w:val="5A6072"/>
          <w:sz w:val="19"/>
          <w:szCs w:val="19"/>
        </w:rPr>
        <w:t xml:space="preserve">ACQF QCP e-learning course · Lesson 1.2: Mapping National Stakeholder Ecosystems</w:t>
      </w:r>
    </w:p>
    <w:p>
      <w:pPr>
        <w:spacing w:after="240"/>
      </w:pPr>
      <w:r>
        <w:rPr>
          <w:rFonts w:ascii="Arial" w:cs="Arial" w:eastAsia="Arial" w:hAnsi="Arial"/>
          <w:color w:val="5A6072"/>
          <w:sz w:val="20"/>
          <w:szCs w:val="20"/>
        </w:rPr>
        <w:t xml:space="preserve">Map the stakeholder groups in your country. The roles and needs given are starting points: adapt them, cluster or add groups (for example, several ministries), and fill in the green columns for your national context. You can do this on your own, or with your national QCP team.</w:t>
      </w:r>
    </w:p>
    <w:tbl>
      <w:tblPr>
        <w:tblW w:type="dxa" w:w="148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968"/>
        <w:gridCol w:w="2968"/>
        <w:gridCol w:w="3116"/>
        <w:gridCol w:w="3264"/>
        <w:gridCol w:w="2522"/>
      </w:tblGrid>
      <w:tr>
        <w:trPr>
          <w:tblHeader/>
        </w:trPr>
        <w:tc>
          <w:tcPr>
            <w:tcW w:type="dxa" w:w="2968"/>
            <w:tcBorders>
              <w:top w:val="single" w:color="DCE2EF" w:sz="4"/>
              <w:left w:val="single" w:color="DCE2EF" w:sz="4"/>
              <w:bottom w:val="single" w:color="DCE2EF" w:sz="4"/>
              <w:right w:val="single" w:color="DCE2EF" w:sz="4"/>
            </w:tcBorders>
            <w:shd w:fill="202A44" w:color="auto" w:val="clear"/>
            <w:tcMar>
              <w:top w:type="dxa" w:w="140"/>
              <w:left w:type="dxa" w:w="160"/>
              <w:bottom w:type="dxa" w:w="140"/>
              <w:right w:type="dxa" w:w="160"/>
            </w:tcMar>
            <w:vAlign w:val="bottom"/>
          </w:tcPr>
          <w:p>
            <w:r>
              <w:rPr>
                <w:rFonts w:ascii="Arial" w:cs="Arial" w:eastAsia="Arial" w:hAnsi="Arial"/>
                <w:b/>
                <w:bCs/>
                <w:color w:val="FFFFFF"/>
                <w:sz w:val="22"/>
                <w:szCs w:val="22"/>
              </w:rPr>
              <w:t xml:space="preserve">Stakeholder group</w:t>
            </w:r>
          </w:p>
        </w:tc>
        <w:tc>
          <w:tcPr>
            <w:tcW w:type="dxa" w:w="2968"/>
            <w:tcBorders>
              <w:top w:val="single" w:color="DCE2EF" w:sz="4"/>
              <w:left w:val="single" w:color="DCE2EF" w:sz="4"/>
              <w:bottom w:val="single" w:color="DCE2EF" w:sz="4"/>
              <w:right w:val="single" w:color="DCE2EF" w:sz="4"/>
            </w:tcBorders>
            <w:shd w:fill="00A643" w:color="auto" w:val="clear"/>
            <w:tcMar>
              <w:top w:type="dxa" w:w="140"/>
              <w:left w:type="dxa" w:w="160"/>
              <w:bottom w:type="dxa" w:w="140"/>
              <w:right w:type="dxa" w:w="160"/>
            </w:tcMar>
            <w:vAlign w:val="bottom"/>
          </w:tcPr>
          <w:p>
            <w:r>
              <w:rPr>
                <w:rFonts w:ascii="Arial" w:cs="Arial" w:eastAsia="Arial" w:hAnsi="Arial"/>
                <w:b/>
                <w:bCs/>
                <w:color w:val="FFFFFF"/>
                <w:sz w:val="22"/>
                <w:szCs w:val="22"/>
              </w:rPr>
              <w:t xml:space="preserve">Name or institution</w:t>
            </w:r>
          </w:p>
          <w:p>
            <w:r>
              <w:rPr>
                <w:rFonts w:ascii="Arial" w:cs="Arial" w:eastAsia="Arial" w:hAnsi="Arial"/>
                <w:color w:val="FFFFFF"/>
                <w:sz w:val="17"/>
                <w:szCs w:val="17"/>
              </w:rPr>
              <w:t xml:space="preserve">Your example</w:t>
            </w:r>
          </w:p>
        </w:tc>
        <w:tc>
          <w:tcPr>
            <w:tcW w:type="dxa" w:w="3116"/>
            <w:tcBorders>
              <w:top w:val="single" w:color="DCE2EF" w:sz="4"/>
              <w:left w:val="single" w:color="DCE2EF" w:sz="4"/>
              <w:bottom w:val="single" w:color="DCE2EF" w:sz="4"/>
              <w:right w:val="single" w:color="DCE2EF" w:sz="4"/>
            </w:tcBorders>
            <w:shd w:fill="202A44" w:color="auto" w:val="clear"/>
            <w:tcMar>
              <w:top w:type="dxa" w:w="140"/>
              <w:left w:type="dxa" w:w="160"/>
              <w:bottom w:type="dxa" w:w="140"/>
              <w:right w:type="dxa" w:w="160"/>
            </w:tcMar>
            <w:vAlign w:val="bottom"/>
          </w:tcPr>
          <w:p>
            <w:r>
              <w:rPr>
                <w:rFonts w:ascii="Arial" w:cs="Arial" w:eastAsia="Arial" w:hAnsi="Arial"/>
                <w:b/>
                <w:bCs/>
                <w:color w:val="FFFFFF"/>
                <w:sz w:val="22"/>
                <w:szCs w:val="22"/>
              </w:rPr>
              <w:t xml:space="preserve">Role in the NQD / QCP</w:t>
            </w:r>
          </w:p>
        </w:tc>
        <w:tc>
          <w:tcPr>
            <w:tcW w:type="dxa" w:w="3264"/>
            <w:tcBorders>
              <w:top w:val="single" w:color="DCE2EF" w:sz="4"/>
              <w:left w:val="single" w:color="DCE2EF" w:sz="4"/>
              <w:bottom w:val="single" w:color="DCE2EF" w:sz="4"/>
              <w:right w:val="single" w:color="DCE2EF" w:sz="4"/>
            </w:tcBorders>
            <w:shd w:fill="202A44" w:color="auto" w:val="clear"/>
            <w:tcMar>
              <w:top w:type="dxa" w:w="140"/>
              <w:left w:type="dxa" w:w="160"/>
              <w:bottom w:type="dxa" w:w="140"/>
              <w:right w:type="dxa" w:w="160"/>
            </w:tcMar>
            <w:vAlign w:val="bottom"/>
          </w:tcPr>
          <w:p>
            <w:r>
              <w:rPr>
                <w:rFonts w:ascii="Arial" w:cs="Arial" w:eastAsia="Arial" w:hAnsi="Arial"/>
                <w:b/>
                <w:bCs/>
                <w:color w:val="FFFFFF"/>
                <w:sz w:val="22"/>
                <w:szCs w:val="22"/>
              </w:rPr>
              <w:t xml:space="preserve">Needs and expectations</w:t>
            </w:r>
          </w:p>
        </w:tc>
        <w:tc>
          <w:tcPr>
            <w:tcW w:type="dxa" w:w="2522"/>
            <w:tcBorders>
              <w:top w:val="single" w:color="DCE2EF" w:sz="4"/>
              <w:left w:val="single" w:color="DCE2EF" w:sz="4"/>
              <w:bottom w:val="single" w:color="DCE2EF" w:sz="4"/>
              <w:right w:val="single" w:color="DCE2EF" w:sz="4"/>
            </w:tcBorders>
            <w:shd w:fill="00A643" w:color="auto" w:val="clear"/>
            <w:tcMar>
              <w:top w:type="dxa" w:w="140"/>
              <w:left w:type="dxa" w:w="160"/>
              <w:bottom w:type="dxa" w:w="140"/>
              <w:right w:type="dxa" w:w="160"/>
            </w:tcMar>
            <w:vAlign w:val="bottom"/>
          </w:tcPr>
          <w:p>
            <w:r>
              <w:rPr>
                <w:rFonts w:ascii="Arial" w:cs="Arial" w:eastAsia="Arial" w:hAnsi="Arial"/>
                <w:b/>
                <w:bCs/>
                <w:color w:val="FFFFFF"/>
                <w:sz w:val="22"/>
                <w:szCs w:val="22"/>
              </w:rPr>
              <w:t xml:space="preserve">Level of influence</w:t>
            </w:r>
          </w:p>
          <w:p>
            <w:r>
              <w:rPr>
                <w:rFonts w:ascii="Arial" w:cs="Arial" w:eastAsia="Arial" w:hAnsi="Arial"/>
                <w:color w:val="FFFFFF"/>
                <w:sz w:val="17"/>
                <w:szCs w:val="17"/>
              </w:rPr>
              <w:t xml:space="preserve">High / Medium / Low</w:t>
            </w:r>
          </w:p>
        </w:tc>
      </w:tr>
      <w:tr>
        <w:trPr>
          <w:cantSplit/>
          <w:trHeight w:val="850" w:hRule="atLeast"/>
        </w:trPr>
        <w:tc>
          <w:tcPr>
            <w:tcW w:type="dxa" w:w="2968"/>
            <w:tcBorders>
              <w:top w:val="single" w:color="DCE2EF" w:sz="4"/>
              <w:left w:val="single" w:color="DCE2EF" w:sz="4"/>
              <w:bottom w:val="single" w:color="DCE2EF" w:sz="4"/>
              <w:right w:val="single" w:color="DCE2EF" w:sz="4"/>
            </w:tcBorders>
            <w:tcMar>
              <w:top w:type="dxa" w:w="120"/>
              <w:left w:type="dxa" w:w="160"/>
              <w:bottom w:type="dxa" w:w="120"/>
              <w:right w:type="dxa" w:w="160"/>
            </w:tcMar>
            <w:vAlign w:val="center"/>
          </w:tcPr>
          <w:p>
            <w:r>
              <w:rPr>
                <w:rFonts w:ascii="Arial" w:cs="Arial" w:eastAsia="Arial" w:hAnsi="Arial"/>
                <w:b/>
                <w:bCs/>
                <w:color w:val="202A44"/>
                <w:sz w:val="21"/>
                <w:szCs w:val="21"/>
              </w:rPr>
              <w:t xml:space="preserve">Ministries</w:t>
            </w:r>
          </w:p>
        </w:tc>
        <w:tc>
          <w:tcPr>
            <w:tcW w:type="dxa" w:w="2968"/>
            <w:tcBorders>
              <w:top w:val="single" w:color="DCE2EF" w:sz="4"/>
              <w:left w:val="single" w:color="DCE2EF" w:sz="4"/>
              <w:bottom w:val="single" w:color="DCE2EF" w:sz="4"/>
              <w:right w:val="single" w:color="DCE2EF" w:sz="4"/>
            </w:tcBorders>
            <w:tcMar>
              <w:top w:type="dxa" w:w="120"/>
              <w:left w:type="dxa" w:w="160"/>
              <w:bottom w:type="dxa" w:w="120"/>
              <w:right w:type="dxa" w:w="160"/>
            </w:tcMar>
            <w:vAlign w:val="center"/>
          </w:tcPr>
          <w:p/>
        </w:tc>
        <w:tc>
          <w:tcPr>
            <w:tcW w:type="dxa" w:w="3116"/>
            <w:tcBorders>
              <w:top w:val="single" w:color="DCE2EF" w:sz="4"/>
              <w:left w:val="single" w:color="DCE2EF" w:sz="4"/>
              <w:bottom w:val="single" w:color="DCE2EF" w:sz="4"/>
              <w:right w:val="single" w:color="DCE2EF" w:sz="4"/>
            </w:tcBorders>
            <w:tcMar>
              <w:top w:type="dxa" w:w="120"/>
              <w:left w:type="dxa" w:w="160"/>
              <w:bottom w:type="dxa" w:w="120"/>
              <w:right w:type="dxa" w:w="160"/>
            </w:tcMar>
            <w:vAlign w:val="center"/>
          </w:tcPr>
          <w:p>
            <w:r>
              <w:rPr>
                <w:rFonts w:ascii="Arial" w:cs="Arial" w:eastAsia="Arial" w:hAnsi="Arial"/>
                <w:color w:val="202A44"/>
                <w:sz w:val="21"/>
                <w:szCs w:val="21"/>
              </w:rPr>
              <w:t xml:space="preserve">Policy oversight, alignment with ACQF</w:t>
            </w:r>
          </w:p>
        </w:tc>
        <w:tc>
          <w:tcPr>
            <w:tcW w:type="dxa" w:w="3264"/>
            <w:tcBorders>
              <w:top w:val="single" w:color="DCE2EF" w:sz="4"/>
              <w:left w:val="single" w:color="DCE2EF" w:sz="4"/>
              <w:bottom w:val="single" w:color="DCE2EF" w:sz="4"/>
              <w:right w:val="single" w:color="DCE2EF" w:sz="4"/>
            </w:tcBorders>
            <w:tcMar>
              <w:top w:type="dxa" w:w="120"/>
              <w:left w:type="dxa" w:w="160"/>
              <w:bottom w:type="dxa" w:w="120"/>
              <w:right w:type="dxa" w:w="160"/>
            </w:tcMar>
            <w:vAlign w:val="center"/>
          </w:tcPr>
          <w:p>
            <w:r>
              <w:rPr>
                <w:rFonts w:ascii="Arial" w:cs="Arial" w:eastAsia="Arial" w:hAnsi="Arial"/>
                <w:color w:val="202A44"/>
                <w:sz w:val="21"/>
                <w:szCs w:val="21"/>
              </w:rPr>
              <w:t xml:space="preserve">Reliable data for decision-making</w:t>
            </w:r>
          </w:p>
        </w:tc>
        <w:tc>
          <w:tcPr>
            <w:tcW w:type="dxa" w:w="2522"/>
            <w:tcBorders>
              <w:top w:val="single" w:color="DCE2EF" w:sz="4"/>
              <w:left w:val="single" w:color="DCE2EF" w:sz="4"/>
              <w:bottom w:val="single" w:color="DCE2EF" w:sz="4"/>
              <w:right w:val="single" w:color="DCE2EF" w:sz="4"/>
            </w:tcBorders>
            <w:tcMar>
              <w:top w:type="dxa" w:w="120"/>
              <w:left w:type="dxa" w:w="160"/>
              <w:bottom w:type="dxa" w:w="120"/>
              <w:right w:type="dxa" w:w="160"/>
            </w:tcMar>
            <w:vAlign w:val="center"/>
          </w:tcPr>
          <w:p/>
        </w:tc>
      </w:tr>
      <w:tr>
        <w:trPr>
          <w:cantSplit/>
          <w:trHeight w:val="850" w:hRule="atLeast"/>
        </w:trPr>
        <w:tc>
          <w:tcPr>
            <w:tcW w:type="dxa" w:w="2968"/>
            <w:tcBorders>
              <w:top w:val="single" w:color="DCE2EF" w:sz="4"/>
              <w:left w:val="single" w:color="DCE2EF" w:sz="4"/>
              <w:bottom w:val="single" w:color="DCE2EF" w:sz="4"/>
              <w:right w:val="single" w:color="DCE2EF" w:sz="4"/>
            </w:tcBorders>
            <w:shd w:fill="F6F7F9" w:color="auto" w:val="clear"/>
            <w:tcMar>
              <w:top w:type="dxa" w:w="120"/>
              <w:left w:type="dxa" w:w="160"/>
              <w:bottom w:type="dxa" w:w="120"/>
              <w:right w:type="dxa" w:w="160"/>
            </w:tcMar>
            <w:vAlign w:val="center"/>
          </w:tcPr>
          <w:p>
            <w:r>
              <w:rPr>
                <w:rFonts w:ascii="Arial" w:cs="Arial" w:eastAsia="Arial" w:hAnsi="Arial"/>
                <w:b/>
                <w:bCs/>
                <w:color w:val="202A44"/>
                <w:sz w:val="21"/>
                <w:szCs w:val="21"/>
              </w:rPr>
              <w:t xml:space="preserve">NQD administrators</w:t>
            </w:r>
          </w:p>
        </w:tc>
        <w:tc>
          <w:tcPr>
            <w:tcW w:type="dxa" w:w="2968"/>
            <w:tcBorders>
              <w:top w:val="single" w:color="DCE2EF" w:sz="4"/>
              <w:left w:val="single" w:color="DCE2EF" w:sz="4"/>
              <w:bottom w:val="single" w:color="DCE2EF" w:sz="4"/>
              <w:right w:val="single" w:color="DCE2EF" w:sz="4"/>
            </w:tcBorders>
            <w:shd w:fill="F6F7F9" w:color="auto" w:val="clear"/>
            <w:tcMar>
              <w:top w:type="dxa" w:w="120"/>
              <w:left w:type="dxa" w:w="160"/>
              <w:bottom w:type="dxa" w:w="120"/>
              <w:right w:type="dxa" w:w="160"/>
            </w:tcMar>
            <w:vAlign w:val="center"/>
          </w:tcPr>
          <w:p/>
        </w:tc>
        <w:tc>
          <w:tcPr>
            <w:tcW w:type="dxa" w:w="3116"/>
            <w:tcBorders>
              <w:top w:val="single" w:color="DCE2EF" w:sz="4"/>
              <w:left w:val="single" w:color="DCE2EF" w:sz="4"/>
              <w:bottom w:val="single" w:color="DCE2EF" w:sz="4"/>
              <w:right w:val="single" w:color="DCE2EF" w:sz="4"/>
            </w:tcBorders>
            <w:shd w:fill="F6F7F9" w:color="auto" w:val="clear"/>
            <w:tcMar>
              <w:top w:type="dxa" w:w="120"/>
              <w:left w:type="dxa" w:w="160"/>
              <w:bottom w:type="dxa" w:w="120"/>
              <w:right w:type="dxa" w:w="160"/>
            </w:tcMar>
            <w:vAlign w:val="center"/>
          </w:tcPr>
          <w:p>
            <w:r>
              <w:rPr>
                <w:rFonts w:ascii="Arial" w:cs="Arial" w:eastAsia="Arial" w:hAnsi="Arial"/>
                <w:color w:val="202A44"/>
                <w:sz w:val="21"/>
                <w:szCs w:val="21"/>
              </w:rPr>
              <w:t xml:space="preserve">Data management, platform operation</w:t>
            </w:r>
          </w:p>
        </w:tc>
        <w:tc>
          <w:tcPr>
            <w:tcW w:type="dxa" w:w="3264"/>
            <w:tcBorders>
              <w:top w:val="single" w:color="DCE2EF" w:sz="4"/>
              <w:left w:val="single" w:color="DCE2EF" w:sz="4"/>
              <w:bottom w:val="single" w:color="DCE2EF" w:sz="4"/>
              <w:right w:val="single" w:color="DCE2EF" w:sz="4"/>
            </w:tcBorders>
            <w:shd w:fill="F6F7F9" w:color="auto" w:val="clear"/>
            <w:tcMar>
              <w:top w:type="dxa" w:w="120"/>
              <w:left w:type="dxa" w:w="160"/>
              <w:bottom w:type="dxa" w:w="120"/>
              <w:right w:type="dxa" w:w="160"/>
            </w:tcMar>
            <w:vAlign w:val="center"/>
          </w:tcPr>
          <w:p>
            <w:r>
              <w:rPr>
                <w:rFonts w:ascii="Arial" w:cs="Arial" w:eastAsia="Arial" w:hAnsi="Arial"/>
                <w:color w:val="202A44"/>
                <w:sz w:val="21"/>
                <w:szCs w:val="21"/>
              </w:rPr>
              <w:t xml:space="preserve">Technical support, capacity building</w:t>
            </w:r>
          </w:p>
        </w:tc>
        <w:tc>
          <w:tcPr>
            <w:tcW w:type="dxa" w:w="2522"/>
            <w:tcBorders>
              <w:top w:val="single" w:color="DCE2EF" w:sz="4"/>
              <w:left w:val="single" w:color="DCE2EF" w:sz="4"/>
              <w:bottom w:val="single" w:color="DCE2EF" w:sz="4"/>
              <w:right w:val="single" w:color="DCE2EF" w:sz="4"/>
            </w:tcBorders>
            <w:shd w:fill="F6F7F9" w:color="auto" w:val="clear"/>
            <w:tcMar>
              <w:top w:type="dxa" w:w="120"/>
              <w:left w:type="dxa" w:w="160"/>
              <w:bottom w:type="dxa" w:w="120"/>
              <w:right w:type="dxa" w:w="160"/>
            </w:tcMar>
            <w:vAlign w:val="center"/>
          </w:tcPr>
          <w:p/>
        </w:tc>
      </w:tr>
      <w:tr>
        <w:trPr>
          <w:cantSplit/>
          <w:trHeight w:val="850" w:hRule="atLeast"/>
        </w:trPr>
        <w:tc>
          <w:tcPr>
            <w:tcW w:type="dxa" w:w="2968"/>
            <w:tcBorders>
              <w:top w:val="single" w:color="DCE2EF" w:sz="4"/>
              <w:left w:val="single" w:color="DCE2EF" w:sz="4"/>
              <w:bottom w:val="single" w:color="DCE2EF" w:sz="4"/>
              <w:right w:val="single" w:color="DCE2EF" w:sz="4"/>
            </w:tcBorders>
            <w:tcMar>
              <w:top w:type="dxa" w:w="120"/>
              <w:left w:type="dxa" w:w="160"/>
              <w:bottom w:type="dxa" w:w="120"/>
              <w:right w:type="dxa" w:w="160"/>
            </w:tcMar>
            <w:vAlign w:val="center"/>
          </w:tcPr>
          <w:p>
            <w:r>
              <w:rPr>
                <w:rFonts w:ascii="Arial" w:cs="Arial" w:eastAsia="Arial" w:hAnsi="Arial"/>
                <w:b/>
                <w:bCs/>
                <w:color w:val="202A44"/>
                <w:sz w:val="21"/>
                <w:szCs w:val="21"/>
              </w:rPr>
              <w:t xml:space="preserve">Employers and industry bodies</w:t>
            </w:r>
          </w:p>
        </w:tc>
        <w:tc>
          <w:tcPr>
            <w:tcW w:type="dxa" w:w="2968"/>
            <w:tcBorders>
              <w:top w:val="single" w:color="DCE2EF" w:sz="4"/>
              <w:left w:val="single" w:color="DCE2EF" w:sz="4"/>
              <w:bottom w:val="single" w:color="DCE2EF" w:sz="4"/>
              <w:right w:val="single" w:color="DCE2EF" w:sz="4"/>
            </w:tcBorders>
            <w:tcMar>
              <w:top w:type="dxa" w:w="120"/>
              <w:left w:type="dxa" w:w="160"/>
              <w:bottom w:type="dxa" w:w="120"/>
              <w:right w:type="dxa" w:w="160"/>
            </w:tcMar>
            <w:vAlign w:val="center"/>
          </w:tcPr>
          <w:p/>
        </w:tc>
        <w:tc>
          <w:tcPr>
            <w:tcW w:type="dxa" w:w="3116"/>
            <w:tcBorders>
              <w:top w:val="single" w:color="DCE2EF" w:sz="4"/>
              <w:left w:val="single" w:color="DCE2EF" w:sz="4"/>
              <w:bottom w:val="single" w:color="DCE2EF" w:sz="4"/>
              <w:right w:val="single" w:color="DCE2EF" w:sz="4"/>
            </w:tcBorders>
            <w:tcMar>
              <w:top w:type="dxa" w:w="120"/>
              <w:left w:type="dxa" w:w="160"/>
              <w:bottom w:type="dxa" w:w="120"/>
              <w:right w:type="dxa" w:w="160"/>
            </w:tcMar>
            <w:vAlign w:val="center"/>
          </w:tcPr>
          <w:p>
            <w:r>
              <w:rPr>
                <w:rFonts w:ascii="Arial" w:cs="Arial" w:eastAsia="Arial" w:hAnsi="Arial"/>
                <w:color w:val="202A44"/>
                <w:sz w:val="21"/>
                <w:szCs w:val="21"/>
              </w:rPr>
              <w:t xml:space="preserve">Verify qualifications, inform standards</w:t>
            </w:r>
          </w:p>
        </w:tc>
        <w:tc>
          <w:tcPr>
            <w:tcW w:type="dxa" w:w="3264"/>
            <w:tcBorders>
              <w:top w:val="single" w:color="DCE2EF" w:sz="4"/>
              <w:left w:val="single" w:color="DCE2EF" w:sz="4"/>
              <w:bottom w:val="single" w:color="DCE2EF" w:sz="4"/>
              <w:right w:val="single" w:color="DCE2EF" w:sz="4"/>
            </w:tcBorders>
            <w:tcMar>
              <w:top w:type="dxa" w:w="120"/>
              <w:left w:type="dxa" w:w="160"/>
              <w:bottom w:type="dxa" w:w="120"/>
              <w:right w:type="dxa" w:w="160"/>
            </w:tcMar>
            <w:vAlign w:val="center"/>
          </w:tcPr>
          <w:p>
            <w:r>
              <w:rPr>
                <w:rFonts w:ascii="Arial" w:cs="Arial" w:eastAsia="Arial" w:hAnsi="Arial"/>
                <w:color w:val="202A44"/>
                <w:sz w:val="21"/>
                <w:szCs w:val="21"/>
              </w:rPr>
              <w:t xml:space="preserve">Understandable, comparable qualifications</w:t>
            </w:r>
          </w:p>
        </w:tc>
        <w:tc>
          <w:tcPr>
            <w:tcW w:type="dxa" w:w="2522"/>
            <w:tcBorders>
              <w:top w:val="single" w:color="DCE2EF" w:sz="4"/>
              <w:left w:val="single" w:color="DCE2EF" w:sz="4"/>
              <w:bottom w:val="single" w:color="DCE2EF" w:sz="4"/>
              <w:right w:val="single" w:color="DCE2EF" w:sz="4"/>
            </w:tcBorders>
            <w:tcMar>
              <w:top w:type="dxa" w:w="120"/>
              <w:left w:type="dxa" w:w="160"/>
              <w:bottom w:type="dxa" w:w="120"/>
              <w:right w:type="dxa" w:w="160"/>
            </w:tcMar>
            <w:vAlign w:val="center"/>
          </w:tcPr>
          <w:p/>
        </w:tc>
      </w:tr>
      <w:tr>
        <w:trPr>
          <w:cantSplit/>
          <w:trHeight w:val="850" w:hRule="atLeast"/>
        </w:trPr>
        <w:tc>
          <w:tcPr>
            <w:tcW w:type="dxa" w:w="2968"/>
            <w:tcBorders>
              <w:top w:val="single" w:color="DCE2EF" w:sz="4"/>
              <w:left w:val="single" w:color="DCE2EF" w:sz="4"/>
              <w:bottom w:val="single" w:color="DCE2EF" w:sz="4"/>
              <w:right w:val="single" w:color="DCE2EF" w:sz="4"/>
            </w:tcBorders>
            <w:shd w:fill="F6F7F9" w:color="auto" w:val="clear"/>
            <w:tcMar>
              <w:top w:type="dxa" w:w="120"/>
              <w:left w:type="dxa" w:w="160"/>
              <w:bottom w:type="dxa" w:w="120"/>
              <w:right w:type="dxa" w:w="160"/>
            </w:tcMar>
            <w:vAlign w:val="center"/>
          </w:tcPr>
          <w:p>
            <w:r>
              <w:rPr>
                <w:rFonts w:ascii="Arial" w:cs="Arial" w:eastAsia="Arial" w:hAnsi="Arial"/>
                <w:b/>
                <w:bCs/>
                <w:color w:val="202A44"/>
                <w:sz w:val="21"/>
                <w:szCs w:val="21"/>
              </w:rPr>
              <w:t xml:space="preserve">Learners and job seekers</w:t>
            </w:r>
          </w:p>
        </w:tc>
        <w:tc>
          <w:tcPr>
            <w:tcW w:type="dxa" w:w="2968"/>
            <w:tcBorders>
              <w:top w:val="single" w:color="DCE2EF" w:sz="4"/>
              <w:left w:val="single" w:color="DCE2EF" w:sz="4"/>
              <w:bottom w:val="single" w:color="DCE2EF" w:sz="4"/>
              <w:right w:val="single" w:color="DCE2EF" w:sz="4"/>
            </w:tcBorders>
            <w:shd w:fill="F6F7F9" w:color="auto" w:val="clear"/>
            <w:tcMar>
              <w:top w:type="dxa" w:w="120"/>
              <w:left w:type="dxa" w:w="160"/>
              <w:bottom w:type="dxa" w:w="120"/>
              <w:right w:type="dxa" w:w="160"/>
            </w:tcMar>
            <w:vAlign w:val="center"/>
          </w:tcPr>
          <w:p/>
        </w:tc>
        <w:tc>
          <w:tcPr>
            <w:tcW w:type="dxa" w:w="3116"/>
            <w:tcBorders>
              <w:top w:val="single" w:color="DCE2EF" w:sz="4"/>
              <w:left w:val="single" w:color="DCE2EF" w:sz="4"/>
              <w:bottom w:val="single" w:color="DCE2EF" w:sz="4"/>
              <w:right w:val="single" w:color="DCE2EF" w:sz="4"/>
            </w:tcBorders>
            <w:shd w:fill="F6F7F9" w:color="auto" w:val="clear"/>
            <w:tcMar>
              <w:top w:type="dxa" w:w="120"/>
              <w:left w:type="dxa" w:w="160"/>
              <w:bottom w:type="dxa" w:w="120"/>
              <w:right w:type="dxa" w:w="160"/>
            </w:tcMar>
            <w:vAlign w:val="center"/>
          </w:tcPr>
          <w:p>
            <w:r>
              <w:rPr>
                <w:rFonts w:ascii="Arial" w:cs="Arial" w:eastAsia="Arial" w:hAnsi="Arial"/>
                <w:color w:val="202A44"/>
                <w:sz w:val="21"/>
                <w:szCs w:val="21"/>
              </w:rPr>
              <w:t xml:space="preserve">Use information for career and study choices</w:t>
            </w:r>
          </w:p>
        </w:tc>
        <w:tc>
          <w:tcPr>
            <w:tcW w:type="dxa" w:w="3264"/>
            <w:tcBorders>
              <w:top w:val="single" w:color="DCE2EF" w:sz="4"/>
              <w:left w:val="single" w:color="DCE2EF" w:sz="4"/>
              <w:bottom w:val="single" w:color="DCE2EF" w:sz="4"/>
              <w:right w:val="single" w:color="DCE2EF" w:sz="4"/>
            </w:tcBorders>
            <w:shd w:fill="F6F7F9" w:color="auto" w:val="clear"/>
            <w:tcMar>
              <w:top w:type="dxa" w:w="120"/>
              <w:left w:type="dxa" w:w="160"/>
              <w:bottom w:type="dxa" w:w="120"/>
              <w:right w:type="dxa" w:w="160"/>
            </w:tcMar>
            <w:vAlign w:val="center"/>
          </w:tcPr>
          <w:p>
            <w:r>
              <w:rPr>
                <w:rFonts w:ascii="Arial" w:cs="Arial" w:eastAsia="Arial" w:hAnsi="Arial"/>
                <w:color w:val="202A44"/>
                <w:sz w:val="21"/>
                <w:szCs w:val="21"/>
              </w:rPr>
              <w:t xml:space="preserve">Trustworthy, accessible information</w:t>
            </w:r>
          </w:p>
        </w:tc>
        <w:tc>
          <w:tcPr>
            <w:tcW w:type="dxa" w:w="2522"/>
            <w:tcBorders>
              <w:top w:val="single" w:color="DCE2EF" w:sz="4"/>
              <w:left w:val="single" w:color="DCE2EF" w:sz="4"/>
              <w:bottom w:val="single" w:color="DCE2EF" w:sz="4"/>
              <w:right w:val="single" w:color="DCE2EF" w:sz="4"/>
            </w:tcBorders>
            <w:shd w:fill="F6F7F9" w:color="auto" w:val="clear"/>
            <w:tcMar>
              <w:top w:type="dxa" w:w="120"/>
              <w:left w:type="dxa" w:w="160"/>
              <w:bottom w:type="dxa" w:w="120"/>
              <w:right w:type="dxa" w:w="160"/>
            </w:tcMar>
            <w:vAlign w:val="center"/>
          </w:tcPr>
          <w:p/>
        </w:tc>
      </w:tr>
      <w:tr>
        <w:trPr>
          <w:cantSplit/>
          <w:trHeight w:val="850" w:hRule="atLeast"/>
        </w:trPr>
        <w:tc>
          <w:tcPr>
            <w:tcW w:type="dxa" w:w="2968"/>
            <w:tcBorders>
              <w:top w:val="single" w:color="DCE2EF" w:sz="4"/>
              <w:left w:val="single" w:color="DCE2EF" w:sz="4"/>
              <w:bottom w:val="single" w:color="DCE2EF" w:sz="4"/>
              <w:right w:val="single" w:color="DCE2EF" w:sz="4"/>
            </w:tcBorders>
            <w:tcMar>
              <w:top w:type="dxa" w:w="120"/>
              <w:left w:type="dxa" w:w="160"/>
              <w:bottom w:type="dxa" w:w="120"/>
              <w:right w:type="dxa" w:w="160"/>
            </w:tcMar>
            <w:vAlign w:val="center"/>
          </w:tcPr>
          <w:p>
            <w:r>
              <w:rPr>
                <w:rFonts w:ascii="Arial" w:cs="Arial" w:eastAsia="Arial" w:hAnsi="Arial"/>
                <w:b/>
                <w:bCs/>
                <w:color w:val="202A44"/>
                <w:sz w:val="21"/>
                <w:szCs w:val="21"/>
              </w:rPr>
              <w:t xml:space="preserve">Quality assurance bodies</w:t>
            </w:r>
          </w:p>
        </w:tc>
        <w:tc>
          <w:tcPr>
            <w:tcW w:type="dxa" w:w="2968"/>
            <w:tcBorders>
              <w:top w:val="single" w:color="DCE2EF" w:sz="4"/>
              <w:left w:val="single" w:color="DCE2EF" w:sz="4"/>
              <w:bottom w:val="single" w:color="DCE2EF" w:sz="4"/>
              <w:right w:val="single" w:color="DCE2EF" w:sz="4"/>
            </w:tcBorders>
            <w:tcMar>
              <w:top w:type="dxa" w:w="120"/>
              <w:left w:type="dxa" w:w="160"/>
              <w:bottom w:type="dxa" w:w="120"/>
              <w:right w:type="dxa" w:w="160"/>
            </w:tcMar>
            <w:vAlign w:val="center"/>
          </w:tcPr>
          <w:p/>
        </w:tc>
        <w:tc>
          <w:tcPr>
            <w:tcW w:type="dxa" w:w="3116"/>
            <w:tcBorders>
              <w:top w:val="single" w:color="DCE2EF" w:sz="4"/>
              <w:left w:val="single" w:color="DCE2EF" w:sz="4"/>
              <w:bottom w:val="single" w:color="DCE2EF" w:sz="4"/>
              <w:right w:val="single" w:color="DCE2EF" w:sz="4"/>
            </w:tcBorders>
            <w:tcMar>
              <w:top w:type="dxa" w:w="120"/>
              <w:left w:type="dxa" w:w="160"/>
              <w:bottom w:type="dxa" w:w="120"/>
              <w:right w:type="dxa" w:w="160"/>
            </w:tcMar>
            <w:vAlign w:val="center"/>
          </w:tcPr>
          <w:p>
            <w:r>
              <w:rPr>
                <w:rFonts w:ascii="Arial" w:cs="Arial" w:eastAsia="Arial" w:hAnsi="Arial"/>
                <w:color w:val="202A44"/>
                <w:sz w:val="21"/>
                <w:szCs w:val="21"/>
              </w:rPr>
              <w:t xml:space="preserve">Uphold standards, validate data</w:t>
            </w:r>
          </w:p>
        </w:tc>
        <w:tc>
          <w:tcPr>
            <w:tcW w:type="dxa" w:w="3264"/>
            <w:tcBorders>
              <w:top w:val="single" w:color="DCE2EF" w:sz="4"/>
              <w:left w:val="single" w:color="DCE2EF" w:sz="4"/>
              <w:bottom w:val="single" w:color="DCE2EF" w:sz="4"/>
              <w:right w:val="single" w:color="DCE2EF" w:sz="4"/>
            </w:tcBorders>
            <w:tcMar>
              <w:top w:type="dxa" w:w="120"/>
              <w:left w:type="dxa" w:w="160"/>
              <w:bottom w:type="dxa" w:w="120"/>
              <w:right w:type="dxa" w:w="160"/>
            </w:tcMar>
            <w:vAlign w:val="center"/>
          </w:tcPr>
          <w:p>
            <w:r>
              <w:rPr>
                <w:rFonts w:ascii="Arial" w:cs="Arial" w:eastAsia="Arial" w:hAnsi="Arial"/>
                <w:color w:val="202A44"/>
                <w:sz w:val="21"/>
                <w:szCs w:val="21"/>
              </w:rPr>
              <w:t xml:space="preserve">Integration with recognition systems</w:t>
            </w:r>
          </w:p>
        </w:tc>
        <w:tc>
          <w:tcPr>
            <w:tcW w:type="dxa" w:w="2522"/>
            <w:tcBorders>
              <w:top w:val="single" w:color="DCE2EF" w:sz="4"/>
              <w:left w:val="single" w:color="DCE2EF" w:sz="4"/>
              <w:bottom w:val="single" w:color="DCE2EF" w:sz="4"/>
              <w:right w:val="single" w:color="DCE2EF" w:sz="4"/>
            </w:tcBorders>
            <w:tcMar>
              <w:top w:type="dxa" w:w="120"/>
              <w:left w:type="dxa" w:w="160"/>
              <w:bottom w:type="dxa" w:w="120"/>
              <w:right w:type="dxa" w:w="160"/>
            </w:tcMar>
            <w:vAlign w:val="center"/>
          </w:tcPr>
          <w:p/>
        </w:tc>
      </w:tr>
      <w:tr>
        <w:trPr>
          <w:cantSplit/>
          <w:trHeight w:val="850" w:hRule="atLeast"/>
        </w:trPr>
        <w:tc>
          <w:tcPr>
            <w:tcW w:type="dxa" w:w="2968"/>
            <w:tcBorders>
              <w:top w:val="single" w:color="DCE2EF" w:sz="4"/>
              <w:left w:val="single" w:color="DCE2EF" w:sz="4"/>
              <w:bottom w:val="single" w:color="DCE2EF" w:sz="4"/>
              <w:right w:val="single" w:color="DCE2EF" w:sz="4"/>
            </w:tcBorders>
            <w:shd w:fill="F6F7F9" w:color="auto" w:val="clear"/>
            <w:tcMar>
              <w:top w:type="dxa" w:w="120"/>
              <w:left w:type="dxa" w:w="160"/>
              <w:bottom w:type="dxa" w:w="120"/>
              <w:right w:type="dxa" w:w="160"/>
            </w:tcMar>
            <w:vAlign w:val="center"/>
          </w:tcPr>
          <w:p>
            <w:r>
              <w:rPr>
                <w:rFonts w:ascii="Arial" w:cs="Arial" w:eastAsia="Arial" w:hAnsi="Arial"/>
                <w:b/>
                <w:bCs/>
                <w:color w:val="5A6072"/>
                <w:sz w:val="21"/>
                <w:szCs w:val="21"/>
              </w:rPr>
              <w:t xml:space="preserve">Other stakeholders (specify)</w:t>
            </w:r>
          </w:p>
        </w:tc>
        <w:tc>
          <w:tcPr>
            <w:tcW w:type="dxa" w:w="2968"/>
            <w:tcBorders>
              <w:top w:val="single" w:color="DCE2EF" w:sz="4"/>
              <w:left w:val="single" w:color="DCE2EF" w:sz="4"/>
              <w:bottom w:val="single" w:color="DCE2EF" w:sz="4"/>
              <w:right w:val="single" w:color="DCE2EF" w:sz="4"/>
            </w:tcBorders>
            <w:shd w:fill="F6F7F9" w:color="auto" w:val="clear"/>
            <w:tcMar>
              <w:top w:type="dxa" w:w="120"/>
              <w:left w:type="dxa" w:w="160"/>
              <w:bottom w:type="dxa" w:w="120"/>
              <w:right w:type="dxa" w:w="160"/>
            </w:tcMar>
            <w:vAlign w:val="center"/>
          </w:tcPr>
          <w:p/>
        </w:tc>
        <w:tc>
          <w:tcPr>
            <w:tcW w:type="dxa" w:w="3116"/>
            <w:tcBorders>
              <w:top w:val="single" w:color="DCE2EF" w:sz="4"/>
              <w:left w:val="single" w:color="DCE2EF" w:sz="4"/>
              <w:bottom w:val="single" w:color="DCE2EF" w:sz="4"/>
              <w:right w:val="single" w:color="DCE2EF" w:sz="4"/>
            </w:tcBorders>
            <w:shd w:fill="F6F7F9" w:color="auto" w:val="clear"/>
            <w:tcMar>
              <w:top w:type="dxa" w:w="120"/>
              <w:left w:type="dxa" w:w="160"/>
              <w:bottom w:type="dxa" w:w="120"/>
              <w:right w:type="dxa" w:w="160"/>
            </w:tcMar>
            <w:vAlign w:val="center"/>
          </w:tcPr>
          <w:p/>
        </w:tc>
        <w:tc>
          <w:tcPr>
            <w:tcW w:type="dxa" w:w="3264"/>
            <w:tcBorders>
              <w:top w:val="single" w:color="DCE2EF" w:sz="4"/>
              <w:left w:val="single" w:color="DCE2EF" w:sz="4"/>
              <w:bottom w:val="single" w:color="DCE2EF" w:sz="4"/>
              <w:right w:val="single" w:color="DCE2EF" w:sz="4"/>
            </w:tcBorders>
            <w:shd w:fill="F6F7F9" w:color="auto" w:val="clear"/>
            <w:tcMar>
              <w:top w:type="dxa" w:w="120"/>
              <w:left w:type="dxa" w:w="160"/>
              <w:bottom w:type="dxa" w:w="120"/>
              <w:right w:type="dxa" w:w="160"/>
            </w:tcMar>
            <w:vAlign w:val="center"/>
          </w:tcPr>
          <w:p/>
        </w:tc>
        <w:tc>
          <w:tcPr>
            <w:tcW w:type="dxa" w:w="2522"/>
            <w:tcBorders>
              <w:top w:val="single" w:color="DCE2EF" w:sz="4"/>
              <w:left w:val="single" w:color="DCE2EF" w:sz="4"/>
              <w:bottom w:val="single" w:color="DCE2EF" w:sz="4"/>
              <w:right w:val="single" w:color="DCE2EF" w:sz="4"/>
            </w:tcBorders>
            <w:shd w:fill="F6F7F9" w:color="auto" w:val="clear"/>
            <w:tcMar>
              <w:top w:type="dxa" w:w="120"/>
              <w:left w:type="dxa" w:w="160"/>
              <w:bottom w:type="dxa" w:w="120"/>
              <w:right w:type="dxa" w:w="160"/>
            </w:tcMar>
            <w:vAlign w:val="center"/>
          </w:tcPr>
          <w:p/>
        </w:tc>
      </w:tr>
      <w:tr>
        <w:trPr>
          <w:cantSplit/>
          <w:trHeight w:val="850" w:hRule="atLeast"/>
        </w:trPr>
        <w:tc>
          <w:tcPr>
            <w:tcW w:type="dxa" w:w="2968"/>
            <w:tcBorders>
              <w:top w:val="single" w:color="DCE2EF" w:sz="4"/>
              <w:left w:val="single" w:color="DCE2EF" w:sz="4"/>
              <w:bottom w:val="single" w:color="DCE2EF" w:sz="4"/>
              <w:right w:val="single" w:color="DCE2EF" w:sz="4"/>
            </w:tcBorders>
            <w:tcMar>
              <w:top w:type="dxa" w:w="120"/>
              <w:left w:type="dxa" w:w="160"/>
              <w:bottom w:type="dxa" w:w="120"/>
              <w:right w:type="dxa" w:w="160"/>
            </w:tcMar>
            <w:vAlign w:val="center"/>
          </w:tcPr>
          <w:p>
            <w:r>
              <w:rPr>
                <w:rFonts w:ascii="Arial" w:cs="Arial" w:eastAsia="Arial" w:hAnsi="Arial"/>
                <w:b/>
                <w:bCs/>
                <w:color w:val="5A6072"/>
                <w:sz w:val="21"/>
                <w:szCs w:val="21"/>
              </w:rPr>
              <w:t xml:space="preserve">Other stakeholders (specify)</w:t>
            </w:r>
          </w:p>
        </w:tc>
        <w:tc>
          <w:tcPr>
            <w:tcW w:type="dxa" w:w="2968"/>
            <w:tcBorders>
              <w:top w:val="single" w:color="DCE2EF" w:sz="4"/>
              <w:left w:val="single" w:color="DCE2EF" w:sz="4"/>
              <w:bottom w:val="single" w:color="DCE2EF" w:sz="4"/>
              <w:right w:val="single" w:color="DCE2EF" w:sz="4"/>
            </w:tcBorders>
            <w:tcMar>
              <w:top w:type="dxa" w:w="120"/>
              <w:left w:type="dxa" w:w="160"/>
              <w:bottom w:type="dxa" w:w="120"/>
              <w:right w:type="dxa" w:w="160"/>
            </w:tcMar>
            <w:vAlign w:val="center"/>
          </w:tcPr>
          <w:p/>
        </w:tc>
        <w:tc>
          <w:tcPr>
            <w:tcW w:type="dxa" w:w="3116"/>
            <w:tcBorders>
              <w:top w:val="single" w:color="DCE2EF" w:sz="4"/>
              <w:left w:val="single" w:color="DCE2EF" w:sz="4"/>
              <w:bottom w:val="single" w:color="DCE2EF" w:sz="4"/>
              <w:right w:val="single" w:color="DCE2EF" w:sz="4"/>
            </w:tcBorders>
            <w:tcMar>
              <w:top w:type="dxa" w:w="120"/>
              <w:left w:type="dxa" w:w="160"/>
              <w:bottom w:type="dxa" w:w="120"/>
              <w:right w:type="dxa" w:w="160"/>
            </w:tcMar>
            <w:vAlign w:val="center"/>
          </w:tcPr>
          <w:p/>
        </w:tc>
        <w:tc>
          <w:tcPr>
            <w:tcW w:type="dxa" w:w="3264"/>
            <w:tcBorders>
              <w:top w:val="single" w:color="DCE2EF" w:sz="4"/>
              <w:left w:val="single" w:color="DCE2EF" w:sz="4"/>
              <w:bottom w:val="single" w:color="DCE2EF" w:sz="4"/>
              <w:right w:val="single" w:color="DCE2EF" w:sz="4"/>
            </w:tcBorders>
            <w:tcMar>
              <w:top w:type="dxa" w:w="120"/>
              <w:left w:type="dxa" w:w="160"/>
              <w:bottom w:type="dxa" w:w="120"/>
              <w:right w:type="dxa" w:w="160"/>
            </w:tcMar>
            <w:vAlign w:val="center"/>
          </w:tcPr>
          <w:p/>
        </w:tc>
        <w:tc>
          <w:tcPr>
            <w:tcW w:type="dxa" w:w="2522"/>
            <w:tcBorders>
              <w:top w:val="single" w:color="DCE2EF" w:sz="4"/>
              <w:left w:val="single" w:color="DCE2EF" w:sz="4"/>
              <w:bottom w:val="single" w:color="DCE2EF" w:sz="4"/>
              <w:right w:val="single" w:color="DCE2EF" w:sz="4"/>
            </w:tcBorders>
            <w:tcMar>
              <w:top w:type="dxa" w:w="120"/>
              <w:left w:type="dxa" w:w="160"/>
              <w:bottom w:type="dxa" w:w="120"/>
              <w:right w:type="dxa" w:w="160"/>
            </w:tcMar>
            <w:vAlign w:val="center"/>
          </w:tcPr>
          <w:p/>
        </w:tc>
      </w:tr>
    </w:tbl>
    <w:p>
      <w:pPr>
        <w:spacing w:before="200"/>
      </w:pPr>
      <w:r>
        <w:rPr>
          <w:rFonts w:ascii="Arial" w:cs="Arial" w:eastAsia="Arial" w:hAnsi="Arial"/>
          <w:color w:val="202A44"/>
          <w:sz w:val="20"/>
          <w:szCs w:val="20"/>
        </w:rPr>
        <w:t xml:space="preserve">■ </w:t>
      </w:r>
      <w:r>
        <w:rPr>
          <w:rFonts w:ascii="Arial" w:cs="Arial" w:eastAsia="Arial" w:hAnsi="Arial"/>
          <w:color w:val="5A6072"/>
          <w:sz w:val="18"/>
          <w:szCs w:val="18"/>
        </w:rPr>
        <w:t xml:space="preserve">Given as a starting point     </w:t>
      </w:r>
      <w:r>
        <w:rPr>
          <w:rFonts w:ascii="Arial" w:cs="Arial" w:eastAsia="Arial" w:hAnsi="Arial"/>
          <w:color w:val="00A643"/>
          <w:sz w:val="20"/>
          <w:szCs w:val="20"/>
        </w:rPr>
        <w:t xml:space="preserve">■ </w:t>
      </w:r>
      <w:r>
        <w:rPr>
          <w:rFonts w:ascii="Arial" w:cs="Arial" w:eastAsia="Arial" w:hAnsi="Arial"/>
          <w:color w:val="5A6072"/>
          <w:sz w:val="18"/>
          <w:szCs w:val="18"/>
        </w:rPr>
        <w:t xml:space="preserve">To fill in for your country</w:t>
      </w:r>
    </w:p>
    <w:sectPr>
      <w:pgSz w:w="16838" w:h="11906" w:orient="landscape"/>
      <w:pgMar w:top="900" w:right="1000" w:bottom="90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2026-10-09T10:10:19.364Z</dcterms:created>
  <dcterms:modified xsi:type="dcterms:W3CDTF">2026-10-09T10:10:19.364Z</dcterms:modified>
</cp:coreProperties>
</file>

<file path=docProps/custom.xml><?xml version="1.0" encoding="utf-8"?>
<Properties xmlns="http://schemas.openxmlformats.org/officeDocument/2006/custom-properties" xmlns:vt="http://schemas.openxmlformats.org/officeDocument/2006/docPropsVTypes"/>
</file>